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7962B2" w:rsidRDefault="007962B2" w:rsidP="007962B2">
      <w:pPr>
        <w:spacing w:after="180"/>
        <w:rPr>
          <w:b/>
          <w:sz w:val="44"/>
          <w:szCs w:val="44"/>
        </w:rPr>
      </w:pPr>
      <w:r w:rsidRPr="007962B2">
        <w:rPr>
          <w:b/>
          <w:sz w:val="44"/>
          <w:szCs w:val="44"/>
        </w:rPr>
        <w:t>Refracting rays</w:t>
      </w:r>
    </w:p>
    <w:p w:rsidR="007B18B8" w:rsidRDefault="007B18B8" w:rsidP="007962B2">
      <w:pPr>
        <w:spacing w:after="180"/>
      </w:pPr>
    </w:p>
    <w:p w:rsidR="007962B2" w:rsidRPr="007962B2" w:rsidRDefault="007962B2" w:rsidP="007962B2">
      <w:pPr>
        <w:spacing w:after="120" w:line="276" w:lineRule="auto"/>
      </w:pPr>
      <w:r w:rsidRPr="007962B2">
        <w:t>A ray of light shows the direction light moves.</w:t>
      </w:r>
    </w:p>
    <w:p w:rsidR="007962B2" w:rsidRPr="007962B2" w:rsidRDefault="007962B2" w:rsidP="007962B2">
      <w:pPr>
        <w:spacing w:line="276" w:lineRule="auto"/>
      </w:pPr>
      <w:r w:rsidRPr="007962B2">
        <w:t>When light moves from air into glass it can refract.</w:t>
      </w:r>
    </w:p>
    <w:p w:rsidR="007962B2" w:rsidRPr="007962B2" w:rsidRDefault="007962B2" w:rsidP="007962B2">
      <w:pPr>
        <w:spacing w:after="120" w:line="276" w:lineRule="auto"/>
      </w:pPr>
      <w:r w:rsidRPr="007962B2">
        <w:t>It can change direction at the boundary between air and glass.</w:t>
      </w:r>
    </w:p>
    <w:p w:rsidR="007B18B8" w:rsidRPr="00201AC2" w:rsidRDefault="007962B2" w:rsidP="007962B2">
      <w:pPr>
        <w:spacing w:after="240" w:line="276" w:lineRule="auto"/>
        <w:rPr>
          <w:szCs w:val="18"/>
        </w:rPr>
      </w:pPr>
      <w:r w:rsidRPr="007962B2">
        <w:t>Light can also refract when it moves from glass into air.</w:t>
      </w:r>
    </w:p>
    <w:p w:rsidR="00FB2831" w:rsidRPr="007962B2" w:rsidRDefault="007962B2" w:rsidP="007962B2">
      <w:pPr>
        <w:spacing w:after="240"/>
        <w:jc w:val="center"/>
        <w:rPr>
          <w:szCs w:val="18"/>
          <w:lang w:val="en-US"/>
        </w:rPr>
      </w:pPr>
      <w:r w:rsidRPr="007962B2">
        <w:rPr>
          <w:noProof/>
          <w:szCs w:val="18"/>
          <w:lang w:val="en-US"/>
        </w:rPr>
        <w:drawing>
          <wp:inline distT="0" distB="0" distL="0" distR="0" wp14:anchorId="4425D649">
            <wp:extent cx="3426151" cy="1787857"/>
            <wp:effectExtent l="0" t="0" r="3175"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3683" cy="1797006"/>
                    </a:xfrm>
                    <a:prstGeom prst="rect">
                      <a:avLst/>
                    </a:prstGeom>
                    <a:noFill/>
                  </pic:spPr>
                </pic:pic>
              </a:graphicData>
            </a:graphic>
          </wp:inline>
        </w:drawing>
      </w:r>
    </w:p>
    <w:p w:rsidR="007962B2" w:rsidRPr="007962B2" w:rsidRDefault="007962B2" w:rsidP="007962B2">
      <w:pPr>
        <w:spacing w:after="240"/>
        <w:jc w:val="center"/>
        <w:rPr>
          <w:szCs w:val="18"/>
          <w:lang w:val="en-US"/>
        </w:rPr>
      </w:pPr>
      <w:r w:rsidRPr="007962B2">
        <w:rPr>
          <w:szCs w:val="18"/>
          <w:lang w:val="en-US"/>
        </w:rPr>
        <w:t>A lens can refract light to form an image on a screen.</w:t>
      </w:r>
    </w:p>
    <w:p w:rsidR="007962B2" w:rsidRPr="007962B2" w:rsidRDefault="007962B2" w:rsidP="007B18B8">
      <w:pPr>
        <w:spacing w:after="240"/>
        <w:rPr>
          <w:sz w:val="28"/>
          <w:szCs w:val="28"/>
          <w:highlight w:val="yellow"/>
          <w:lang w:val="en-US"/>
        </w:rPr>
      </w:pPr>
    </w:p>
    <w:p w:rsidR="007962B2" w:rsidRPr="007962B2" w:rsidRDefault="007962B2" w:rsidP="007962B2">
      <w:pPr>
        <w:spacing w:line="276" w:lineRule="auto"/>
        <w:ind w:left="425" w:hanging="425"/>
        <w:rPr>
          <w:sz w:val="28"/>
          <w:szCs w:val="28"/>
          <w:lang w:val="en-US"/>
        </w:rPr>
      </w:pPr>
      <w:r w:rsidRPr="007962B2">
        <w:rPr>
          <w:b/>
          <w:bCs/>
          <w:sz w:val="28"/>
          <w:szCs w:val="28"/>
          <w:lang w:val="en-US"/>
        </w:rPr>
        <w:t>1.</w:t>
      </w:r>
      <w:r w:rsidRPr="007962B2">
        <w:rPr>
          <w:sz w:val="28"/>
          <w:szCs w:val="28"/>
          <w:lang w:val="en-US"/>
        </w:rPr>
        <w:tab/>
        <w:t xml:space="preserve">Which ray of light shows what happens at a boundary between </w:t>
      </w:r>
    </w:p>
    <w:p w:rsidR="007962B2" w:rsidRPr="007962B2" w:rsidRDefault="007962B2" w:rsidP="007962B2">
      <w:pPr>
        <w:ind w:left="425"/>
        <w:rPr>
          <w:sz w:val="28"/>
          <w:szCs w:val="28"/>
        </w:rPr>
      </w:pPr>
      <w:r w:rsidRPr="007962B2">
        <w:rPr>
          <w:sz w:val="28"/>
          <w:szCs w:val="28"/>
          <w:lang w:val="en-US"/>
        </w:rPr>
        <w:t>air and glass?</w:t>
      </w:r>
    </w:p>
    <w:p w:rsidR="007962B2" w:rsidRDefault="007962B2" w:rsidP="007962B2">
      <w:pPr>
        <w:spacing w:after="240"/>
        <w:ind w:left="425" w:hanging="425"/>
        <w:jc w:val="center"/>
        <w:rPr>
          <w:szCs w:val="18"/>
        </w:rPr>
      </w:pPr>
      <w:r>
        <w:rPr>
          <w:noProof/>
          <w:szCs w:val="18"/>
        </w:rPr>
        <w:drawing>
          <wp:inline distT="0" distB="0" distL="0" distR="0" wp14:anchorId="1AF1807F">
            <wp:extent cx="4625187" cy="2699522"/>
            <wp:effectExtent l="0" t="0" r="0"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8511" cy="2707299"/>
                    </a:xfrm>
                    <a:prstGeom prst="rect">
                      <a:avLst/>
                    </a:prstGeom>
                    <a:noFill/>
                  </pic:spPr>
                </pic:pic>
              </a:graphicData>
            </a:graphic>
          </wp:inline>
        </w:drawing>
      </w:r>
    </w:p>
    <w:p w:rsidR="007962B2" w:rsidRDefault="007962B2" w:rsidP="007962B2">
      <w:pPr>
        <w:spacing w:after="240"/>
        <w:ind w:left="425" w:hanging="425"/>
        <w:jc w:val="center"/>
        <w:rPr>
          <w:szCs w:val="18"/>
        </w:rPr>
      </w:pPr>
    </w:p>
    <w:p w:rsidR="007962B2" w:rsidRDefault="007962B2">
      <w:pPr>
        <w:spacing w:after="200" w:line="276" w:lineRule="auto"/>
        <w:rPr>
          <w:szCs w:val="18"/>
        </w:rPr>
      </w:pPr>
      <w:r>
        <w:rPr>
          <w:szCs w:val="18"/>
        </w:rPr>
        <w:br w:type="page"/>
      </w:r>
    </w:p>
    <w:p w:rsidR="007962B2" w:rsidRPr="007962B2" w:rsidRDefault="007962B2" w:rsidP="007962B2">
      <w:pPr>
        <w:spacing w:after="180" w:line="276" w:lineRule="auto"/>
        <w:ind w:left="425" w:hanging="425"/>
        <w:rPr>
          <w:b/>
          <w:bCs/>
          <w:sz w:val="44"/>
          <w:szCs w:val="44"/>
          <w:lang w:val="en-US"/>
        </w:rPr>
      </w:pPr>
    </w:p>
    <w:p w:rsidR="007962B2" w:rsidRPr="007962B2" w:rsidRDefault="007962B2" w:rsidP="007962B2">
      <w:pPr>
        <w:spacing w:after="180" w:line="276" w:lineRule="auto"/>
        <w:ind w:left="425" w:hanging="425"/>
        <w:rPr>
          <w:b/>
          <w:bCs/>
          <w:szCs w:val="28"/>
          <w:lang w:val="en-US"/>
        </w:rPr>
      </w:pPr>
    </w:p>
    <w:p w:rsidR="007962B2" w:rsidRPr="007962B2" w:rsidRDefault="007962B2" w:rsidP="007962B2">
      <w:pPr>
        <w:spacing w:line="276" w:lineRule="auto"/>
        <w:ind w:left="425" w:hanging="425"/>
        <w:rPr>
          <w:sz w:val="28"/>
          <w:szCs w:val="28"/>
          <w:lang w:val="en-US"/>
        </w:rPr>
      </w:pPr>
      <w:r>
        <w:rPr>
          <w:b/>
          <w:bCs/>
          <w:sz w:val="28"/>
          <w:szCs w:val="28"/>
          <w:lang w:val="en-US"/>
        </w:rPr>
        <w:t>2</w:t>
      </w:r>
      <w:r w:rsidRPr="007962B2">
        <w:rPr>
          <w:b/>
          <w:bCs/>
          <w:sz w:val="28"/>
          <w:szCs w:val="28"/>
          <w:lang w:val="en-US"/>
        </w:rPr>
        <w:t>.</w:t>
      </w:r>
      <w:r w:rsidRPr="007962B2">
        <w:rPr>
          <w:sz w:val="28"/>
          <w:szCs w:val="28"/>
          <w:lang w:val="en-US"/>
        </w:rPr>
        <w:tab/>
        <w:t xml:space="preserve">Which ray of light shows what happens at a boundary between </w:t>
      </w:r>
    </w:p>
    <w:p w:rsidR="007962B2" w:rsidRPr="007962B2" w:rsidRDefault="007962B2" w:rsidP="007962B2">
      <w:pPr>
        <w:ind w:left="425"/>
        <w:rPr>
          <w:sz w:val="28"/>
          <w:szCs w:val="28"/>
        </w:rPr>
      </w:pPr>
      <w:r w:rsidRPr="007962B2">
        <w:rPr>
          <w:sz w:val="28"/>
          <w:szCs w:val="28"/>
          <w:lang w:val="en-US"/>
        </w:rPr>
        <w:t>air and glass?</w:t>
      </w:r>
    </w:p>
    <w:p w:rsidR="007962B2" w:rsidRDefault="007962B2" w:rsidP="007962B2">
      <w:pPr>
        <w:spacing w:after="200" w:line="276" w:lineRule="auto"/>
        <w:jc w:val="center"/>
        <w:rPr>
          <w:szCs w:val="18"/>
        </w:rPr>
      </w:pPr>
      <w:r>
        <w:rPr>
          <w:noProof/>
          <w:szCs w:val="18"/>
        </w:rPr>
        <w:drawing>
          <wp:inline distT="0" distB="0" distL="0" distR="0" wp14:anchorId="0F2B119B">
            <wp:extent cx="4790091" cy="2700000"/>
            <wp:effectExtent l="0" t="0" r="0" b="57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0091" cy="2700000"/>
                    </a:xfrm>
                    <a:prstGeom prst="rect">
                      <a:avLst/>
                    </a:prstGeom>
                    <a:noFill/>
                  </pic:spPr>
                </pic:pic>
              </a:graphicData>
            </a:graphic>
          </wp:inline>
        </w:drawing>
      </w:r>
    </w:p>
    <w:p w:rsidR="007962B2" w:rsidRDefault="007962B2" w:rsidP="007962B2">
      <w:pPr>
        <w:spacing w:after="200" w:line="276" w:lineRule="auto"/>
        <w:jc w:val="center"/>
        <w:rPr>
          <w:szCs w:val="18"/>
        </w:rPr>
      </w:pPr>
    </w:p>
    <w:p w:rsidR="007962B2" w:rsidRPr="007962B2" w:rsidRDefault="007962B2" w:rsidP="007962B2">
      <w:pPr>
        <w:spacing w:line="276" w:lineRule="auto"/>
        <w:ind w:left="425" w:hanging="425"/>
        <w:rPr>
          <w:sz w:val="28"/>
          <w:szCs w:val="28"/>
          <w:lang w:val="en-US"/>
        </w:rPr>
      </w:pPr>
      <w:r>
        <w:rPr>
          <w:b/>
          <w:bCs/>
          <w:sz w:val="28"/>
          <w:szCs w:val="28"/>
          <w:lang w:val="en-US"/>
        </w:rPr>
        <w:t>3</w:t>
      </w:r>
      <w:r w:rsidRPr="007962B2">
        <w:rPr>
          <w:b/>
          <w:bCs/>
          <w:sz w:val="28"/>
          <w:szCs w:val="28"/>
          <w:lang w:val="en-US"/>
        </w:rPr>
        <w:t>.</w:t>
      </w:r>
      <w:r w:rsidRPr="007962B2">
        <w:rPr>
          <w:sz w:val="28"/>
          <w:szCs w:val="28"/>
          <w:lang w:val="en-US"/>
        </w:rPr>
        <w:tab/>
        <w:t xml:space="preserve">Which ray of light shows what happens at a boundary between </w:t>
      </w:r>
    </w:p>
    <w:p w:rsidR="007962B2" w:rsidRPr="007962B2" w:rsidRDefault="007962B2" w:rsidP="007962B2">
      <w:pPr>
        <w:ind w:left="425"/>
        <w:rPr>
          <w:sz w:val="28"/>
          <w:szCs w:val="28"/>
        </w:rPr>
      </w:pPr>
      <w:r>
        <w:rPr>
          <w:sz w:val="28"/>
          <w:szCs w:val="28"/>
          <w:lang w:val="en-US"/>
        </w:rPr>
        <w:t>glass and air</w:t>
      </w:r>
      <w:r w:rsidRPr="007962B2">
        <w:rPr>
          <w:sz w:val="28"/>
          <w:szCs w:val="28"/>
          <w:lang w:val="en-US"/>
        </w:rPr>
        <w:t>?</w:t>
      </w:r>
    </w:p>
    <w:p w:rsidR="007962B2" w:rsidRDefault="007962B2" w:rsidP="007962B2">
      <w:pPr>
        <w:spacing w:after="200" w:line="276" w:lineRule="auto"/>
        <w:jc w:val="center"/>
        <w:rPr>
          <w:szCs w:val="18"/>
        </w:rPr>
      </w:pPr>
      <w:r>
        <w:rPr>
          <w:noProof/>
          <w:szCs w:val="18"/>
        </w:rPr>
        <w:drawing>
          <wp:inline distT="0" distB="0" distL="0" distR="0" wp14:anchorId="0A5C6404">
            <wp:extent cx="4612463" cy="2700000"/>
            <wp:effectExtent l="0" t="0" r="0" b="571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2463" cy="2700000"/>
                    </a:xfrm>
                    <a:prstGeom prst="rect">
                      <a:avLst/>
                    </a:prstGeom>
                    <a:noFill/>
                  </pic:spPr>
                </pic:pic>
              </a:graphicData>
            </a:graphic>
          </wp:inline>
        </w:drawing>
      </w:r>
      <w:r>
        <w:rPr>
          <w:szCs w:val="18"/>
        </w:rPr>
        <w:br w:type="page"/>
      </w:r>
    </w:p>
    <w:p w:rsidR="007962B2" w:rsidRPr="007962B2" w:rsidRDefault="007962B2" w:rsidP="007962B2">
      <w:pPr>
        <w:spacing w:after="240"/>
        <w:ind w:left="425" w:hanging="425"/>
        <w:rPr>
          <w:szCs w:val="18"/>
        </w:rPr>
        <w:sectPr w:rsidR="007962B2" w:rsidRPr="007962B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sidRPr="00B40505">
        <w:rPr>
          <w:i/>
          <w:sz w:val="18"/>
          <w:szCs w:val="18"/>
        </w:rPr>
        <w:lastRenderedPageBreak/>
        <w:t>Physics</w:t>
      </w:r>
      <w:r w:rsidR="006F3279" w:rsidRPr="00B40505">
        <w:rPr>
          <w:i/>
          <w:sz w:val="18"/>
          <w:szCs w:val="18"/>
        </w:rPr>
        <w:t xml:space="preserve"> &gt; </w:t>
      </w:r>
      <w:r w:rsidR="0007651D" w:rsidRPr="00B40505">
        <w:rPr>
          <w:i/>
          <w:sz w:val="18"/>
          <w:szCs w:val="18"/>
        </w:rPr>
        <w:t xml:space="preserve">Big idea </w:t>
      </w:r>
      <w:r w:rsidRPr="00B40505">
        <w:rPr>
          <w:i/>
          <w:sz w:val="18"/>
          <w:szCs w:val="18"/>
        </w:rPr>
        <w:t>P</w:t>
      </w:r>
      <w:r w:rsidR="00B40505" w:rsidRPr="00B40505">
        <w:rPr>
          <w:i/>
          <w:sz w:val="18"/>
          <w:szCs w:val="18"/>
        </w:rPr>
        <w:t>SL</w:t>
      </w:r>
      <w:r w:rsidR="0007651D" w:rsidRPr="00B40505">
        <w:rPr>
          <w:i/>
          <w:sz w:val="18"/>
          <w:szCs w:val="18"/>
        </w:rPr>
        <w:t xml:space="preserve">: </w:t>
      </w:r>
      <w:r w:rsidR="00B40505" w:rsidRPr="00B40505">
        <w:rPr>
          <w:i/>
          <w:sz w:val="18"/>
          <w:szCs w:val="18"/>
        </w:rPr>
        <w:t>Sound, light and waves</w:t>
      </w:r>
      <w:r w:rsidR="0007651D" w:rsidRPr="00B40505">
        <w:rPr>
          <w:i/>
          <w:sz w:val="18"/>
          <w:szCs w:val="18"/>
        </w:rPr>
        <w:t xml:space="preserve"> &gt; Topic </w:t>
      </w:r>
      <w:r w:rsidRPr="00B40505">
        <w:rPr>
          <w:i/>
          <w:sz w:val="18"/>
          <w:szCs w:val="18"/>
        </w:rPr>
        <w:t>P</w:t>
      </w:r>
      <w:r w:rsidR="00B40505" w:rsidRPr="00B40505">
        <w:rPr>
          <w:i/>
          <w:sz w:val="18"/>
          <w:szCs w:val="18"/>
        </w:rPr>
        <w:t>SL6</w:t>
      </w:r>
      <w:r w:rsidR="0007651D" w:rsidRPr="00B40505">
        <w:rPr>
          <w:i/>
          <w:sz w:val="18"/>
          <w:szCs w:val="18"/>
        </w:rPr>
        <w:t xml:space="preserve">: </w:t>
      </w:r>
      <w:r w:rsidR="00B40505" w:rsidRPr="00B40505">
        <w:rPr>
          <w:i/>
          <w:sz w:val="18"/>
          <w:szCs w:val="18"/>
        </w:rPr>
        <w:t>Wave properties of light</w:t>
      </w:r>
      <w:r w:rsidR="006F3279" w:rsidRPr="00B40505">
        <w:rPr>
          <w:i/>
          <w:sz w:val="18"/>
          <w:szCs w:val="18"/>
        </w:rPr>
        <w:t xml:space="preserve"> &gt; </w:t>
      </w:r>
      <w:r w:rsidR="0007651D" w:rsidRPr="00B40505">
        <w:rPr>
          <w:i/>
          <w:sz w:val="18"/>
          <w:szCs w:val="18"/>
        </w:rPr>
        <w:t>Key concept</w:t>
      </w:r>
      <w:r w:rsidR="006F3279" w:rsidRPr="00B40505">
        <w:rPr>
          <w:i/>
          <w:sz w:val="18"/>
          <w:szCs w:val="18"/>
        </w:rPr>
        <w:t xml:space="preserve"> </w:t>
      </w:r>
      <w:r w:rsidR="00B40505" w:rsidRPr="00B40505">
        <w:rPr>
          <w:i/>
          <w:sz w:val="18"/>
          <w:szCs w:val="18"/>
        </w:rPr>
        <w:t>PSL6.1</w:t>
      </w:r>
      <w:r w:rsidR="006F3279" w:rsidRPr="00B40505">
        <w:rPr>
          <w:i/>
          <w:sz w:val="18"/>
          <w:szCs w:val="18"/>
        </w:rPr>
        <w:t xml:space="preserve">: </w:t>
      </w:r>
      <w:r w:rsidR="007E2467">
        <w:rPr>
          <w:i/>
          <w:sz w:val="18"/>
          <w:szCs w:val="18"/>
        </w:rPr>
        <w:t>R</w:t>
      </w:r>
      <w:bookmarkStart w:id="0" w:name="_GoBack"/>
      <w:bookmarkEnd w:id="0"/>
      <w:r w:rsidR="00923E44">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40505" w:rsidP="006F3279">
            <w:pPr>
              <w:spacing w:after="60"/>
              <w:ind w:left="1304"/>
              <w:rPr>
                <w:b/>
                <w:sz w:val="40"/>
                <w:szCs w:val="40"/>
              </w:rPr>
            </w:pPr>
            <w:r w:rsidRPr="00B40505">
              <w:rPr>
                <w:b/>
                <w:sz w:val="40"/>
                <w:szCs w:val="40"/>
              </w:rPr>
              <w:t>Refracting rays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33C31" w:rsidP="00C33C31">
            <w:pPr>
              <w:spacing w:before="60" w:after="60"/>
            </w:pPr>
            <w:r>
              <w:t>Light has wave properties, which allows it to be refracted at a boundary between one transparent medium and another in which it travels at a different speed.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33C31" w:rsidP="0007651D">
            <w:pPr>
              <w:spacing w:before="60" w:after="60"/>
              <w:rPr>
                <w:b/>
              </w:rPr>
            </w:pPr>
            <w:r w:rsidRPr="00C33C31">
              <w:t>Use ray diagrams to show how light refracts at a boundary between transparent media.</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A665F6" w:rsidRDefault="000505CA" w:rsidP="000505CA">
            <w:pPr>
              <w:spacing w:before="60" w:after="60"/>
            </w:pPr>
            <w:r w:rsidRPr="00A665F6">
              <w:t>Key words:</w:t>
            </w:r>
          </w:p>
        </w:tc>
        <w:tc>
          <w:tcPr>
            <w:tcW w:w="6820" w:type="dxa"/>
            <w:tcBorders>
              <w:bottom w:val="dotted" w:sz="4" w:space="0" w:color="auto"/>
            </w:tcBorders>
          </w:tcPr>
          <w:p w:rsidR="000505CA" w:rsidRPr="00A665F6" w:rsidRDefault="00A665F6" w:rsidP="000505CA">
            <w:pPr>
              <w:spacing w:before="60" w:after="60"/>
            </w:pPr>
            <w:r w:rsidRPr="00A665F6">
              <w:t>Refract, refraction, incident ray, normal, refracted ray, reflected ray</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33C31" w:rsidRDefault="0034221B" w:rsidP="00C33C31">
      <w:pPr>
        <w:spacing w:after="180"/>
      </w:pP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over half of 14- to 16-year-olds (n=166) consider rays to be actual physical things that are the constituents of light, perhaps because it is rarely made explicit in teaching that rays are imaginary lines that show</w:t>
      </w:r>
      <w:r w:rsidRPr="00232235">
        <w:t xml:space="preserve"> the direction in which light is travelling</w:t>
      </w:r>
      <w:r>
        <w:t xml:space="preserve">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p>
    <w:p w:rsidR="00EA5A62" w:rsidRDefault="00EA5A62" w:rsidP="00EA5A62">
      <w:pPr>
        <w:pStyle w:val="NormalWeb"/>
        <w:shd w:val="clear" w:color="auto" w:fill="FFFFFF"/>
        <w:spacing w:before="0" w:beforeAutospacing="0" w:after="180" w:afterAutospacing="0"/>
        <w:rPr>
          <w:rFonts w:asciiTheme="minorHAnsi" w:hAnsiTheme="minorHAnsi" w:cstheme="minorHAnsi"/>
          <w:sz w:val="22"/>
          <w:szCs w:val="22"/>
        </w:rPr>
      </w:pPr>
      <w:r w:rsidRPr="00573347">
        <w:rPr>
          <w:rFonts w:asciiTheme="minorHAnsi" w:hAnsiTheme="minorHAnsi" w:cstheme="minorHAnsi"/>
          <w:sz w:val="22"/>
          <w:szCs w:val="22"/>
        </w:rPr>
        <w:lastRenderedPageBreak/>
        <w:t>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a</w:t>
      </w:r>
      <w:r>
        <w:rPr>
          <w:rFonts w:asciiTheme="minorHAnsi" w:hAnsiTheme="minorHAnsi" w:cstheme="minorHAnsi"/>
          <w:sz w:val="22"/>
          <w:szCs w:val="22"/>
        </w:rPr>
        <w:t>n optically</w:t>
      </w:r>
      <w:r w:rsidRPr="00573347">
        <w:rPr>
          <w:rFonts w:asciiTheme="minorHAnsi" w:hAnsiTheme="minorHAnsi" w:cstheme="minorHAnsi"/>
          <w:sz w:val="22"/>
          <w:szCs w:val="22"/>
        </w:rPr>
        <w:t xml:space="preserve"> more dense medium and vice versa </w:t>
      </w:r>
      <w:r w:rsidR="00AC7CB4">
        <w:rPr>
          <w:rFonts w:asciiTheme="minorHAnsi" w:hAnsiTheme="minorHAnsi" w:cstheme="minorHAnsi"/>
          <w:sz w:val="22"/>
          <w:szCs w:val="22"/>
        </w:rPr>
        <w:fldChar w:fldCharType="begin"/>
      </w:r>
      <w:r w:rsidR="00AC7CB4">
        <w:rPr>
          <w:rFonts w:asciiTheme="minorHAnsi" w:hAnsiTheme="minorHAnsi" w:cstheme="minorHAnsi"/>
          <w:sz w:val="22"/>
          <w:szCs w:val="22"/>
        </w:rPr>
        <w:instrText xml:space="preserve"> ADDIN EN.CITE &lt;EndNote&gt;&lt;Cite&gt;&lt;Author&gt;Davenport&lt;/Author&gt;&lt;Year&gt;2021&lt;/Year&gt;&lt;IDText&gt;Waves&lt;/IDText&gt;&lt;DisplayText&gt;(Davenport, 2021)&lt;/DisplayText&gt;&lt;record&gt;&lt;contributors&gt;&lt;tertiary-authors&gt;&lt;author&gt;Harrison, C&lt;/author&gt;&lt;/tertiary-authors&gt;&lt;/contributors&gt;&lt;titles&gt;&lt;title&gt;Waves&lt;/title&gt;&lt;secondary-title&gt;Teaching Secondary Physics&lt;/secondary-title&gt;&lt;/titles&gt;&lt;pages&gt;191-220&lt;/pages&gt;&lt;contributors&gt;&lt;authors&gt;&lt;author&gt;Davenport, C&lt;/author&gt;&lt;/authors&gt;&lt;/contributors&gt;&lt;edition&gt;3rd&lt;/edition&gt;&lt;added-date format="utc"&gt;1623314278&lt;/added-date&gt;&lt;pub-location&gt;London&lt;/pub-location&gt;&lt;ref-type name="Book Section"&gt;5&lt;/ref-type&gt;&lt;dates&gt;&lt;year&gt;2021&lt;/year&gt;&lt;/dates&gt;&lt;rec-number&gt;363&lt;/rec-number&gt;&lt;publisher&gt;Hodder Education&lt;/publisher&gt;&lt;last-updated-date format="utc"&gt;1623314430&lt;/last-updated-date&gt;&lt;contributors&gt;&lt;secondary-authors&gt;&lt;author&gt;de Winter, J&lt;/author&gt;&lt;author&gt;Hardman, M&lt;/author&gt;&lt;/secondary-authors&gt;&lt;/contributors&gt;&lt;/record&gt;&lt;/Cite&gt;&lt;/EndNote&gt;</w:instrText>
      </w:r>
      <w:r w:rsidR="00AC7CB4">
        <w:rPr>
          <w:rFonts w:asciiTheme="minorHAnsi" w:hAnsiTheme="minorHAnsi" w:cstheme="minorHAnsi"/>
          <w:sz w:val="22"/>
          <w:szCs w:val="22"/>
        </w:rPr>
        <w:fldChar w:fldCharType="separate"/>
      </w:r>
      <w:r w:rsidR="00AC7CB4">
        <w:rPr>
          <w:rFonts w:asciiTheme="minorHAnsi" w:hAnsiTheme="minorHAnsi" w:cstheme="minorHAnsi"/>
          <w:noProof/>
          <w:sz w:val="22"/>
          <w:szCs w:val="22"/>
        </w:rPr>
        <w:t>(Davenport, 2021)</w:t>
      </w:r>
      <w:r w:rsidR="00AC7CB4">
        <w:rPr>
          <w:rFonts w:asciiTheme="minorHAnsi" w:hAnsiTheme="minorHAnsi" w:cstheme="minorHAnsi"/>
          <w:sz w:val="22"/>
          <w:szCs w:val="22"/>
        </w:rPr>
        <w:fldChar w:fldCharType="end"/>
      </w:r>
      <w:r w:rsidR="00AC7CB4">
        <w:rPr>
          <w:rFonts w:asciiTheme="minorHAnsi" w:hAnsiTheme="minorHAnsi" w:cstheme="minorHAnsi"/>
          <w:sz w:val="22"/>
          <w:szCs w:val="22"/>
        </w:rPr>
        <w:t>.</w:t>
      </w:r>
    </w:p>
    <w:p w:rsidR="00571AD3" w:rsidRDefault="00571AD3" w:rsidP="00026DEC">
      <w:pPr>
        <w:spacing w:after="180"/>
        <w:rPr>
          <w:rFonts w:cstheme="minorHAnsi"/>
        </w:rPr>
      </w:pPr>
      <w:r>
        <w:rPr>
          <w:rFonts w:cstheme="minorHAnsi"/>
        </w:rPr>
        <w:t xml:space="preserve">In a study of (n=213) </w:t>
      </w:r>
      <w:r w:rsidR="009D6806">
        <w:rPr>
          <w:rFonts w:cstheme="minorHAnsi"/>
        </w:rPr>
        <w:t xml:space="preserve">Greek </w:t>
      </w:r>
      <w:r>
        <w:rPr>
          <w:rFonts w:cstheme="minorHAnsi"/>
        </w:rPr>
        <w:t xml:space="preserve">students age 14-15, who had previously studied refraction, </w:t>
      </w:r>
      <w:r>
        <w:rPr>
          <w:rFonts w:cstheme="minorHAnsi"/>
          <w:noProof/>
        </w:rPr>
        <w:t>Fyttas et al.</w:t>
      </w:r>
      <w:r>
        <w:rPr>
          <w:rFonts w:cstheme="minorHAnsi"/>
        </w:rPr>
        <w:t xml:space="preserve">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(2013)</w:t>
      </w:r>
      <w:r>
        <w:rPr>
          <w:rFonts w:cstheme="minorHAnsi"/>
        </w:rPr>
        <w:fldChar w:fldCharType="end"/>
      </w:r>
      <w:r>
        <w:rPr>
          <w:rFonts w:cstheme="minorHAnsi"/>
        </w:rPr>
        <w:t xml:space="preserve"> found that </w:t>
      </w:r>
      <w:r w:rsidR="009D6806">
        <w:rPr>
          <w:rFonts w:cstheme="minorHAnsi"/>
        </w:rPr>
        <w:t>significant numbers thought wrongly that light was wholly reflected at a boundary or that it was refracted the wrong direction. A</w:t>
      </w:r>
      <w:r>
        <w:rPr>
          <w:rFonts w:cstheme="minorHAnsi"/>
        </w:rPr>
        <w:t>bout half thought that light continued in a straight line at a boundary between air and glass, because glass is transparent.</w:t>
      </w:r>
      <w:r w:rsidR="006A1279">
        <w:rPr>
          <w:rFonts w:cstheme="minorHAnsi"/>
        </w:rP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lastRenderedPageBreak/>
        <w:t>You may choose to read the questions to the class, so that everyone can focus on the science.</w:t>
      </w:r>
      <w:r>
        <w:rPr>
          <w:rFonts w:cstheme="minorHAnsi"/>
        </w:rPr>
        <w:t xml:space="preserve"> </w:t>
      </w:r>
      <w:r w:rsidRPr="00AE7928">
        <w:rPr>
          <w:rFonts w:cstheme="minorHAnsi"/>
        </w:rPr>
        <w:t>In some situations</w:t>
      </w:r>
      <w:r w:rsidR="00AC7CB4">
        <w:rPr>
          <w:rFonts w:cstheme="minorHAnsi"/>
        </w:rPr>
        <w:t>,</w:t>
      </w:r>
      <w:r w:rsidRPr="00AE7928">
        <w:rPr>
          <w:rFonts w:cstheme="minorHAnsi"/>
        </w:rPr>
        <w:t xml:space="preserve"> it may be more appropriate for a teaching assistant to read for one or two students.</w:t>
      </w:r>
    </w:p>
    <w:p w:rsidR="00E172C6" w:rsidRPr="00B52AC3" w:rsidRDefault="00BB44B4" w:rsidP="00026DEC">
      <w:pPr>
        <w:spacing w:after="180"/>
        <w:rPr>
          <w:b/>
          <w:color w:val="5F497A" w:themeColor="accent4" w:themeShade="BF"/>
          <w:sz w:val="24"/>
        </w:rPr>
      </w:pPr>
      <w:r w:rsidRPr="00B52AC3">
        <w:rPr>
          <w:b/>
          <w:color w:val="5F497A" w:themeColor="accent4" w:themeShade="BF"/>
          <w:sz w:val="24"/>
        </w:rPr>
        <w:t>Expected answers</w:t>
      </w:r>
    </w:p>
    <w:p w:rsidR="00BF6C8A" w:rsidRPr="00B52AC3" w:rsidRDefault="00B52AC3" w:rsidP="00B52AC3">
      <w:pPr>
        <w:spacing w:after="180"/>
        <w:ind w:left="426" w:hanging="426"/>
      </w:pPr>
      <w:r w:rsidRPr="00B52AC3">
        <w:t>1.</w:t>
      </w:r>
      <w:r>
        <w:tab/>
        <w:t>D</w:t>
      </w:r>
    </w:p>
    <w:p w:rsidR="00B52AC3" w:rsidRPr="00B52AC3" w:rsidRDefault="00B52AC3" w:rsidP="00B52AC3">
      <w:pPr>
        <w:spacing w:after="180"/>
        <w:ind w:left="426" w:hanging="426"/>
      </w:pPr>
      <w:r w:rsidRPr="00B52AC3">
        <w:t>2.</w:t>
      </w:r>
      <w:r>
        <w:tab/>
        <w:t>C</w:t>
      </w:r>
    </w:p>
    <w:p w:rsidR="00B52AC3" w:rsidRDefault="00B52AC3" w:rsidP="00B52AC3">
      <w:pPr>
        <w:spacing w:after="180"/>
        <w:ind w:left="426" w:hanging="426"/>
      </w:pPr>
      <w:r w:rsidRPr="00B52AC3">
        <w:t>3.</w:t>
      </w:r>
      <w:r>
        <w:tab/>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B24E5" w:rsidRDefault="00AB24E5" w:rsidP="00A874A5">
      <w:pPr>
        <w:spacing w:after="180"/>
        <w:rPr>
          <w:rFonts w:cstheme="minorHAnsi"/>
        </w:rPr>
      </w:pPr>
      <w:r>
        <w:rPr>
          <w:rFonts w:cstheme="minorHAnsi"/>
        </w:rPr>
        <w:t>L</w:t>
      </w:r>
      <w:r w:rsidRPr="00573347">
        <w:rPr>
          <w:rFonts w:cstheme="minorHAnsi"/>
        </w:rPr>
        <w:t xml:space="preserve">ight travelling perpendicular to the </w:t>
      </w:r>
      <w:r>
        <w:rPr>
          <w:rFonts w:cstheme="minorHAnsi"/>
        </w:rPr>
        <w:t>boundary</w:t>
      </w:r>
      <w:r w:rsidRPr="00573347">
        <w:rPr>
          <w:rFonts w:cstheme="minorHAnsi"/>
        </w:rPr>
        <w:t xml:space="preserve"> is not refracted; and light bends towards the ‘normal’ when entering a</w:t>
      </w:r>
      <w:r>
        <w:rPr>
          <w:rFonts w:cstheme="minorHAnsi"/>
        </w:rPr>
        <w:t>n optically</w:t>
      </w:r>
      <w:r w:rsidRPr="00573347">
        <w:rPr>
          <w:rFonts w:cstheme="minorHAnsi"/>
        </w:rPr>
        <w:t xml:space="preserve"> </w:t>
      </w:r>
      <w:proofErr w:type="gramStart"/>
      <w:r w:rsidRPr="00573347">
        <w:rPr>
          <w:rFonts w:cstheme="minorHAnsi"/>
        </w:rPr>
        <w:t>more dense</w:t>
      </w:r>
      <w:proofErr w:type="gramEnd"/>
      <w:r w:rsidRPr="00573347">
        <w:rPr>
          <w:rFonts w:cstheme="minorHAnsi"/>
        </w:rPr>
        <w:t xml:space="preserve"> medium and vice versa</w:t>
      </w:r>
      <w:r>
        <w:rPr>
          <w:rFonts w:cstheme="minorHAnsi"/>
        </w:rPr>
        <w:t>.</w:t>
      </w:r>
    </w:p>
    <w:p w:rsidR="00AB24E5" w:rsidRDefault="00AB24E5" w:rsidP="00AB24E5">
      <w:pPr>
        <w:spacing w:after="180"/>
        <w:rPr>
          <w:rFonts w:cstheme="minorHAnsi"/>
        </w:rPr>
      </w:pPr>
      <w:r>
        <w:t>The</w:t>
      </w:r>
      <w:r w:rsidR="00597796">
        <w:t xml:space="preserve"> following are</w:t>
      </w:r>
      <w:r>
        <w:t xml:space="preserve"> results of a study of (n=213) Greek students </w:t>
      </w:r>
      <w:r>
        <w:rPr>
          <w:rFonts w:cstheme="minorHAnsi"/>
        </w:rPr>
        <w:t xml:space="preserve">age 14-15, who had previously studied refraction </w:t>
      </w:r>
      <w:r>
        <w:rPr>
          <w:rFonts w:cstheme="minorHAnsi"/>
        </w:rPr>
        <w:fldChar w:fldCharType="begin"/>
      </w:r>
      <w:r>
        <w:rPr>
          <w:rFonts w:cstheme="minorHAnsi"/>
        </w:rPr>
        <w:instrText xml:space="preserve"> ADDIN EN.CITE &lt;EndNote&gt;&lt;Cite&gt;&lt;Author&gt;Fyttas&lt;/Author&gt;&lt;Year&gt;2013&lt;/Year&gt;&lt;IDText&gt;Ninth grade students&amp;apos; mental representations of the refraction of light: didactic implications&lt;/IDText&gt;&lt;DisplayText&gt;(Fyttas et al., 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(Fyttas et al., 2013)</w:t>
      </w:r>
      <w:r>
        <w:rPr>
          <w:rFonts w:cstheme="minorHAnsi"/>
        </w:rPr>
        <w:fldChar w:fldCharType="end"/>
      </w:r>
      <w:r>
        <w:rPr>
          <w:rFonts w:cstheme="minorHAnsi"/>
        </w:rPr>
        <w:t xml:space="preserve">: </w:t>
      </w:r>
    </w:p>
    <w:tbl>
      <w:tblPr>
        <w:tblStyle w:val="TableGrid"/>
        <w:tblW w:w="0" w:type="auto"/>
        <w:tblLook w:val="04A0" w:firstRow="1" w:lastRow="0" w:firstColumn="1" w:lastColumn="0" w:noHBand="0" w:noVBand="1"/>
      </w:tblPr>
      <w:tblGrid>
        <w:gridCol w:w="2830"/>
        <w:gridCol w:w="1488"/>
        <w:gridCol w:w="1489"/>
        <w:gridCol w:w="1488"/>
        <w:gridCol w:w="1489"/>
      </w:tblGrid>
      <w:tr w:rsidR="00AB24E5" w:rsidTr="00DB2694">
        <w:tc>
          <w:tcPr>
            <w:tcW w:w="2830" w:type="dxa"/>
            <w:vAlign w:val="center"/>
          </w:tcPr>
          <w:p w:rsidR="00AB24E5" w:rsidRPr="005231C3" w:rsidRDefault="00AB24E5" w:rsidP="00360661">
            <w:pPr>
              <w:spacing w:before="60" w:after="60"/>
              <w:jc w:val="center"/>
              <w:rPr>
                <w:sz w:val="20"/>
              </w:rPr>
            </w:pPr>
          </w:p>
        </w:tc>
        <w:tc>
          <w:tcPr>
            <w:tcW w:w="1488" w:type="dxa"/>
            <w:vAlign w:val="center"/>
          </w:tcPr>
          <w:p w:rsidR="00AB24E5" w:rsidRPr="005231C3" w:rsidRDefault="00AB24E5" w:rsidP="00360661">
            <w:pPr>
              <w:spacing w:before="60" w:after="60"/>
              <w:jc w:val="center"/>
              <w:rPr>
                <w:sz w:val="20"/>
              </w:rPr>
            </w:pPr>
            <w:r w:rsidRPr="005231C3">
              <w:rPr>
                <w:sz w:val="20"/>
              </w:rPr>
              <w:t>Ray is reflected or diffused</w:t>
            </w:r>
          </w:p>
        </w:tc>
        <w:tc>
          <w:tcPr>
            <w:tcW w:w="1489" w:type="dxa"/>
            <w:vAlign w:val="center"/>
          </w:tcPr>
          <w:p w:rsidR="00AB24E5" w:rsidRPr="005231C3" w:rsidRDefault="00AB24E5" w:rsidP="00360661">
            <w:pPr>
              <w:spacing w:before="60" w:after="60"/>
              <w:jc w:val="center"/>
              <w:rPr>
                <w:sz w:val="20"/>
              </w:rPr>
            </w:pPr>
            <w:r w:rsidRPr="005231C3">
              <w:rPr>
                <w:sz w:val="20"/>
              </w:rPr>
              <w:t>Ray continues straight</w:t>
            </w:r>
          </w:p>
        </w:tc>
        <w:tc>
          <w:tcPr>
            <w:tcW w:w="1488" w:type="dxa"/>
            <w:tcBorders>
              <w:bottom w:val="single" w:sz="4" w:space="0" w:color="auto"/>
            </w:tcBorders>
            <w:vAlign w:val="center"/>
          </w:tcPr>
          <w:p w:rsidR="00AB24E5" w:rsidRPr="005231C3" w:rsidRDefault="00AB24E5" w:rsidP="00360661">
            <w:pPr>
              <w:spacing w:before="60" w:after="60"/>
              <w:jc w:val="center"/>
              <w:rPr>
                <w:sz w:val="20"/>
              </w:rPr>
            </w:pPr>
            <w:r w:rsidRPr="005231C3">
              <w:rPr>
                <w:sz w:val="20"/>
              </w:rPr>
              <w:t>Ray bends towards the normal</w:t>
            </w:r>
          </w:p>
        </w:tc>
        <w:tc>
          <w:tcPr>
            <w:tcW w:w="1489" w:type="dxa"/>
            <w:vAlign w:val="center"/>
          </w:tcPr>
          <w:p w:rsidR="00AB24E5" w:rsidRPr="005231C3" w:rsidRDefault="00AB24E5" w:rsidP="00360661">
            <w:pPr>
              <w:spacing w:before="60" w:after="60"/>
              <w:jc w:val="center"/>
              <w:rPr>
                <w:sz w:val="20"/>
              </w:rPr>
            </w:pPr>
            <w:r w:rsidRPr="005231C3">
              <w:rPr>
                <w:sz w:val="20"/>
              </w:rPr>
              <w:t>Ray bends away from the normal</w:t>
            </w:r>
          </w:p>
        </w:tc>
      </w:tr>
      <w:tr w:rsidR="00AB24E5" w:rsidTr="00DB2694">
        <w:tc>
          <w:tcPr>
            <w:tcW w:w="2830" w:type="dxa"/>
            <w:vAlign w:val="center"/>
          </w:tcPr>
          <w:p w:rsidR="00AB24E5" w:rsidRPr="005231C3" w:rsidRDefault="00AB24E5" w:rsidP="00360661">
            <w:pPr>
              <w:pStyle w:val="ListParagraph"/>
              <w:numPr>
                <w:ilvl w:val="0"/>
                <w:numId w:val="6"/>
              </w:numPr>
              <w:spacing w:before="60" w:after="60"/>
              <w:ind w:left="313" w:hanging="313"/>
              <w:rPr>
                <w:sz w:val="20"/>
              </w:rPr>
            </w:pPr>
            <w:r w:rsidRPr="005231C3">
              <w:rPr>
                <w:sz w:val="20"/>
              </w:rPr>
              <w:t xml:space="preserve">Moving into an optically </w:t>
            </w:r>
            <w:proofErr w:type="gramStart"/>
            <w:r w:rsidRPr="005231C3">
              <w:rPr>
                <w:sz w:val="20"/>
              </w:rPr>
              <w:t>more</w:t>
            </w:r>
            <w:r w:rsidR="00D03B68" w:rsidRPr="005231C3">
              <w:rPr>
                <w:sz w:val="20"/>
              </w:rPr>
              <w:t xml:space="preserve"> </w:t>
            </w:r>
            <w:r w:rsidRPr="005231C3">
              <w:rPr>
                <w:sz w:val="20"/>
              </w:rPr>
              <w:t>dense</w:t>
            </w:r>
            <w:proofErr w:type="gramEnd"/>
            <w:r w:rsidRPr="005231C3">
              <w:rPr>
                <w:sz w:val="20"/>
              </w:rPr>
              <w:t xml:space="preserve"> medium.</w:t>
            </w:r>
          </w:p>
        </w:tc>
        <w:tc>
          <w:tcPr>
            <w:tcW w:w="1488" w:type="dxa"/>
            <w:vAlign w:val="center"/>
          </w:tcPr>
          <w:p w:rsidR="00AB24E5" w:rsidRPr="005231C3" w:rsidRDefault="00AB24E5" w:rsidP="00360661">
            <w:pPr>
              <w:spacing w:before="60" w:after="60"/>
              <w:jc w:val="center"/>
              <w:rPr>
                <w:sz w:val="20"/>
              </w:rPr>
            </w:pPr>
            <w:r w:rsidRPr="005231C3">
              <w:rPr>
                <w:sz w:val="20"/>
              </w:rPr>
              <w:t>21% (A)</w:t>
            </w:r>
          </w:p>
        </w:tc>
        <w:tc>
          <w:tcPr>
            <w:tcW w:w="1489" w:type="dxa"/>
            <w:tcBorders>
              <w:bottom w:val="single" w:sz="4" w:space="0" w:color="auto"/>
            </w:tcBorders>
            <w:vAlign w:val="center"/>
          </w:tcPr>
          <w:p w:rsidR="00AB24E5" w:rsidRPr="005231C3" w:rsidRDefault="00AB24E5" w:rsidP="00360661">
            <w:pPr>
              <w:spacing w:before="60" w:after="60"/>
              <w:jc w:val="center"/>
              <w:rPr>
                <w:sz w:val="20"/>
              </w:rPr>
            </w:pPr>
            <w:r w:rsidRPr="005231C3">
              <w:rPr>
                <w:sz w:val="20"/>
              </w:rPr>
              <w:t>58% (C)</w:t>
            </w:r>
          </w:p>
        </w:tc>
        <w:tc>
          <w:tcPr>
            <w:tcW w:w="1488" w:type="dxa"/>
            <w:shd w:val="clear" w:color="auto" w:fill="C2D69B" w:themeFill="accent3" w:themeFillTint="99"/>
            <w:vAlign w:val="center"/>
          </w:tcPr>
          <w:p w:rsidR="00AB24E5" w:rsidRPr="005231C3" w:rsidRDefault="00AB24E5" w:rsidP="00360661">
            <w:pPr>
              <w:spacing w:before="60" w:after="60"/>
              <w:jc w:val="center"/>
              <w:rPr>
                <w:b/>
                <w:sz w:val="20"/>
              </w:rPr>
            </w:pPr>
            <w:r w:rsidRPr="005231C3">
              <w:rPr>
                <w:b/>
                <w:sz w:val="20"/>
              </w:rPr>
              <w:t>13% (D)</w:t>
            </w:r>
          </w:p>
        </w:tc>
        <w:tc>
          <w:tcPr>
            <w:tcW w:w="1489" w:type="dxa"/>
            <w:vAlign w:val="center"/>
          </w:tcPr>
          <w:p w:rsidR="00AB24E5" w:rsidRPr="005231C3" w:rsidRDefault="00AB24E5" w:rsidP="00360661">
            <w:pPr>
              <w:spacing w:before="60" w:after="60"/>
              <w:jc w:val="center"/>
              <w:rPr>
                <w:sz w:val="20"/>
              </w:rPr>
            </w:pPr>
            <w:r w:rsidRPr="005231C3">
              <w:rPr>
                <w:sz w:val="20"/>
              </w:rPr>
              <w:t>9% (B)</w:t>
            </w:r>
          </w:p>
        </w:tc>
      </w:tr>
      <w:tr w:rsidR="00AB24E5" w:rsidTr="00DB2694">
        <w:tc>
          <w:tcPr>
            <w:tcW w:w="2830" w:type="dxa"/>
            <w:vAlign w:val="center"/>
          </w:tcPr>
          <w:p w:rsidR="00AB24E5" w:rsidRPr="005231C3" w:rsidRDefault="00AB24E5" w:rsidP="00360661">
            <w:pPr>
              <w:pStyle w:val="ListParagraph"/>
              <w:numPr>
                <w:ilvl w:val="0"/>
                <w:numId w:val="6"/>
              </w:numPr>
              <w:spacing w:before="60" w:after="60"/>
              <w:ind w:left="313" w:hanging="313"/>
              <w:rPr>
                <w:sz w:val="20"/>
              </w:rPr>
            </w:pPr>
            <w:r w:rsidRPr="005231C3">
              <w:rPr>
                <w:sz w:val="20"/>
              </w:rPr>
              <w:t>When the angle of incidence is 90</w:t>
            </w:r>
            <w:r w:rsidRPr="005231C3">
              <w:rPr>
                <w:sz w:val="20"/>
                <w:vertAlign w:val="superscript"/>
              </w:rPr>
              <w:t>o</w:t>
            </w:r>
            <w:r w:rsidRPr="005231C3">
              <w:rPr>
                <w:sz w:val="20"/>
              </w:rPr>
              <w:t>.</w:t>
            </w:r>
          </w:p>
        </w:tc>
        <w:tc>
          <w:tcPr>
            <w:tcW w:w="1488" w:type="dxa"/>
            <w:vAlign w:val="center"/>
          </w:tcPr>
          <w:p w:rsidR="00AB24E5" w:rsidRPr="005231C3" w:rsidRDefault="00AB24E5" w:rsidP="00360661">
            <w:pPr>
              <w:spacing w:before="60" w:after="60"/>
              <w:jc w:val="center"/>
              <w:rPr>
                <w:sz w:val="20"/>
              </w:rPr>
            </w:pPr>
            <w:r w:rsidRPr="005231C3">
              <w:rPr>
                <w:sz w:val="20"/>
              </w:rPr>
              <w:t>33% (A)</w:t>
            </w:r>
          </w:p>
        </w:tc>
        <w:tc>
          <w:tcPr>
            <w:tcW w:w="1489" w:type="dxa"/>
            <w:shd w:val="clear" w:color="auto" w:fill="C2D69B" w:themeFill="accent3" w:themeFillTint="99"/>
            <w:vAlign w:val="center"/>
          </w:tcPr>
          <w:p w:rsidR="00AB24E5" w:rsidRPr="005231C3" w:rsidRDefault="00AB24E5" w:rsidP="00360661">
            <w:pPr>
              <w:spacing w:before="60" w:after="60"/>
              <w:jc w:val="center"/>
              <w:rPr>
                <w:b/>
                <w:sz w:val="20"/>
              </w:rPr>
            </w:pPr>
            <w:r w:rsidRPr="005231C3">
              <w:rPr>
                <w:b/>
                <w:sz w:val="20"/>
              </w:rPr>
              <w:t>51% (C)</w:t>
            </w:r>
          </w:p>
        </w:tc>
        <w:tc>
          <w:tcPr>
            <w:tcW w:w="1488" w:type="dxa"/>
            <w:vAlign w:val="center"/>
          </w:tcPr>
          <w:p w:rsidR="00AB24E5" w:rsidRPr="005231C3" w:rsidRDefault="00AB24E5" w:rsidP="00360661">
            <w:pPr>
              <w:spacing w:before="60" w:after="60"/>
              <w:jc w:val="center"/>
              <w:rPr>
                <w:sz w:val="20"/>
              </w:rPr>
            </w:pPr>
            <w:r w:rsidRPr="005231C3">
              <w:rPr>
                <w:sz w:val="20"/>
              </w:rPr>
              <w:t>-</w:t>
            </w:r>
          </w:p>
        </w:tc>
        <w:tc>
          <w:tcPr>
            <w:tcW w:w="1489" w:type="dxa"/>
            <w:tcBorders>
              <w:bottom w:val="single" w:sz="4" w:space="0" w:color="auto"/>
            </w:tcBorders>
            <w:vAlign w:val="center"/>
          </w:tcPr>
          <w:p w:rsidR="00AB24E5" w:rsidRPr="005231C3" w:rsidRDefault="00AB24E5" w:rsidP="00360661">
            <w:pPr>
              <w:spacing w:before="60" w:after="60"/>
              <w:jc w:val="center"/>
              <w:rPr>
                <w:sz w:val="20"/>
              </w:rPr>
            </w:pPr>
            <w:r w:rsidRPr="005231C3">
              <w:rPr>
                <w:sz w:val="20"/>
              </w:rPr>
              <w:t>16% (B/D)</w:t>
            </w:r>
          </w:p>
        </w:tc>
      </w:tr>
      <w:tr w:rsidR="00AB24E5" w:rsidTr="00DB2694">
        <w:tc>
          <w:tcPr>
            <w:tcW w:w="2830" w:type="dxa"/>
            <w:vAlign w:val="center"/>
          </w:tcPr>
          <w:p w:rsidR="00AB24E5" w:rsidRPr="005231C3" w:rsidRDefault="00AB24E5" w:rsidP="00360661">
            <w:pPr>
              <w:pStyle w:val="ListParagraph"/>
              <w:numPr>
                <w:ilvl w:val="0"/>
                <w:numId w:val="6"/>
              </w:numPr>
              <w:spacing w:before="60" w:after="60"/>
              <w:ind w:left="313" w:hanging="313"/>
              <w:rPr>
                <w:sz w:val="20"/>
              </w:rPr>
            </w:pPr>
            <w:r w:rsidRPr="005231C3">
              <w:rPr>
                <w:sz w:val="20"/>
              </w:rPr>
              <w:t>Moving into an optically less dense medium.</w:t>
            </w:r>
          </w:p>
        </w:tc>
        <w:tc>
          <w:tcPr>
            <w:tcW w:w="1488" w:type="dxa"/>
            <w:vAlign w:val="center"/>
          </w:tcPr>
          <w:p w:rsidR="00AB24E5" w:rsidRPr="005231C3" w:rsidRDefault="00AB24E5" w:rsidP="00360661">
            <w:pPr>
              <w:spacing w:before="60" w:after="60"/>
              <w:jc w:val="center"/>
              <w:rPr>
                <w:sz w:val="20"/>
              </w:rPr>
            </w:pPr>
            <w:r w:rsidRPr="005231C3">
              <w:rPr>
                <w:sz w:val="20"/>
              </w:rPr>
              <w:t>14% (A)</w:t>
            </w:r>
          </w:p>
        </w:tc>
        <w:tc>
          <w:tcPr>
            <w:tcW w:w="1489" w:type="dxa"/>
            <w:vAlign w:val="center"/>
          </w:tcPr>
          <w:p w:rsidR="00AB24E5" w:rsidRPr="005231C3" w:rsidRDefault="00AB24E5" w:rsidP="00360661">
            <w:pPr>
              <w:spacing w:before="60" w:after="60"/>
              <w:jc w:val="center"/>
              <w:rPr>
                <w:sz w:val="20"/>
              </w:rPr>
            </w:pPr>
            <w:r w:rsidRPr="005231C3">
              <w:rPr>
                <w:sz w:val="20"/>
              </w:rPr>
              <w:t>57% (C)</w:t>
            </w:r>
          </w:p>
        </w:tc>
        <w:tc>
          <w:tcPr>
            <w:tcW w:w="1488" w:type="dxa"/>
            <w:vAlign w:val="center"/>
          </w:tcPr>
          <w:p w:rsidR="00AB24E5" w:rsidRPr="005231C3" w:rsidRDefault="00AB24E5" w:rsidP="00360661">
            <w:pPr>
              <w:spacing w:before="60" w:after="60"/>
              <w:jc w:val="center"/>
              <w:rPr>
                <w:sz w:val="20"/>
              </w:rPr>
            </w:pPr>
            <w:r w:rsidRPr="005231C3">
              <w:rPr>
                <w:sz w:val="20"/>
              </w:rPr>
              <w:t>10% (D)</w:t>
            </w:r>
          </w:p>
        </w:tc>
        <w:tc>
          <w:tcPr>
            <w:tcW w:w="1489" w:type="dxa"/>
            <w:shd w:val="clear" w:color="auto" w:fill="C2D69B" w:themeFill="accent3" w:themeFillTint="99"/>
            <w:vAlign w:val="center"/>
          </w:tcPr>
          <w:p w:rsidR="00AB24E5" w:rsidRPr="005231C3" w:rsidRDefault="00AB24E5" w:rsidP="00360661">
            <w:pPr>
              <w:spacing w:before="60" w:after="60"/>
              <w:jc w:val="center"/>
              <w:rPr>
                <w:b/>
                <w:sz w:val="20"/>
              </w:rPr>
            </w:pPr>
            <w:r w:rsidRPr="005231C3">
              <w:rPr>
                <w:b/>
                <w:sz w:val="20"/>
              </w:rPr>
              <w:t>20% (B)</w:t>
            </w:r>
          </w:p>
        </w:tc>
      </w:tr>
    </w:tbl>
    <w:p w:rsidR="00AB24E5" w:rsidRDefault="006D0184" w:rsidP="00A874A5">
      <w:pPr>
        <w:spacing w:after="180"/>
        <w:rPr>
          <w:rFonts w:cstheme="minorHAnsi"/>
        </w:rPr>
      </w:pPr>
      <w:r>
        <w:rPr>
          <w:rFonts w:cstheme="minorHAnsi"/>
        </w:rPr>
        <w:t xml:space="preserve">N.B. </w:t>
      </w:r>
      <w:r w:rsidR="00AB24E5">
        <w:rPr>
          <w:rFonts w:cstheme="minorHAnsi"/>
        </w:rPr>
        <w:t xml:space="preserve">The students were given the </w:t>
      </w:r>
      <w:r>
        <w:rPr>
          <w:rFonts w:cstheme="minorHAnsi"/>
        </w:rPr>
        <w:t xml:space="preserve">diagnostic </w:t>
      </w:r>
      <w:r w:rsidR="00AB24E5">
        <w:rPr>
          <w:rFonts w:cstheme="minorHAnsi"/>
        </w:rPr>
        <w:t>questions</w:t>
      </w:r>
      <w:r w:rsidR="00144D04">
        <w:rPr>
          <w:rFonts w:cstheme="minorHAnsi"/>
        </w:rPr>
        <w:t xml:space="preserve"> used here</w:t>
      </w:r>
      <w:r w:rsidR="00AB24E5">
        <w:rPr>
          <w:rFonts w:cstheme="minorHAnsi"/>
        </w:rPr>
        <w:t>, but without a choice of answer.</w:t>
      </w:r>
    </w:p>
    <w:p w:rsidR="00AB24E5" w:rsidRDefault="00AB24E5" w:rsidP="00AB24E5">
      <w:pPr>
        <w:spacing w:after="180"/>
        <w:ind w:left="426"/>
        <w:rPr>
          <w:rFonts w:cstheme="minorHAnsi"/>
        </w:rPr>
      </w:pPr>
      <w:r>
        <w:rPr>
          <w:rFonts w:cstheme="minorHAnsi"/>
        </w:rPr>
        <w:t xml:space="preserve">The most common misunderstanding is that light continues in a straight line </w:t>
      </w:r>
      <w:r w:rsidR="00854C03">
        <w:rPr>
          <w:rFonts w:cstheme="minorHAnsi"/>
        </w:rPr>
        <w:t>because both the air and the glass are transparent.</w:t>
      </w:r>
    </w:p>
    <w:p w:rsidR="00854C03" w:rsidRDefault="00854C03" w:rsidP="00854C03">
      <w:pPr>
        <w:spacing w:after="180"/>
        <w:ind w:left="426"/>
        <w:rPr>
          <w:rFonts w:cstheme="minorHAnsi"/>
        </w:rPr>
      </w:pPr>
      <w:r>
        <w:rPr>
          <w:rFonts w:cstheme="minorHAnsi"/>
        </w:rPr>
        <w:t xml:space="preserve">In their earlier studies students are likely to have experienced rays of light reflecting and refracting at the surface of a glass block. The answers given in the study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implications&lt;/IDText&gt;&lt;DisplayText&gt;(Fyttas et al., 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w:instrText>
      </w:r>
      <w:r>
        <w:rPr>
          <w:rFonts w:cstheme="minorHAnsi"/>
        </w:rPr>
        <w:lastRenderedPageBreak/>
        <w:instrText>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(Fyttas et al., 2013)</w:t>
      </w:r>
      <w:r>
        <w:rPr>
          <w:rFonts w:cstheme="minorHAnsi"/>
        </w:rPr>
        <w:fldChar w:fldCharType="end"/>
      </w:r>
      <w:r>
        <w:rPr>
          <w:rFonts w:cstheme="minorHAnsi"/>
        </w:rPr>
        <w:t xml:space="preserve"> suggest that students, who do not think light continues in a straight line, are largely guessing between the other options. This view is backed up by the fact that only 6% of students </w:t>
      </w:r>
      <w:r w:rsidR="00214041">
        <w:rPr>
          <w:rFonts w:cstheme="minorHAnsi"/>
        </w:rPr>
        <w:t xml:space="preserve">in the study </w:t>
      </w:r>
      <w:r>
        <w:rPr>
          <w:rFonts w:cstheme="minorHAnsi"/>
        </w:rPr>
        <w:t xml:space="preserve">were able to </w:t>
      </w:r>
      <w:r w:rsidR="00214041">
        <w:rPr>
          <w:rFonts w:cstheme="minorHAnsi"/>
        </w:rPr>
        <w:t>give a scientific</w:t>
      </w:r>
      <w:r w:rsidR="00581291">
        <w:rPr>
          <w:rFonts w:cstheme="minorHAnsi"/>
        </w:rPr>
        <w:t>ally correct</w:t>
      </w:r>
      <w:r w:rsidR="00214041">
        <w:rPr>
          <w:rFonts w:cstheme="minorHAnsi"/>
        </w:rPr>
        <w:t xml:space="preserve"> explanation for their choice.</w:t>
      </w:r>
    </w:p>
    <w:p w:rsidR="00A01222" w:rsidRDefault="00A01222" w:rsidP="00A874A5">
      <w:pPr>
        <w:spacing w:after="180"/>
      </w:pPr>
      <w:r w:rsidRPr="004F039C">
        <w:t xml:space="preserve">If students have </w:t>
      </w:r>
      <w:r w:rsidR="004B1C32">
        <w:t>misunderstanding</w:t>
      </w:r>
      <w:r w:rsidRPr="004F039C">
        <w:t xml:space="preserve">s about </w:t>
      </w:r>
      <w:r w:rsidR="00116C35">
        <w:t xml:space="preserve">how </w:t>
      </w:r>
      <w:r w:rsidR="00214041" w:rsidRPr="00C33C31">
        <w:t>light refracts at a boundary between transparent media</w:t>
      </w:r>
      <w:r w:rsidRPr="004F039C">
        <w:t xml:space="preserve">, </w:t>
      </w:r>
      <w:r w:rsidR="00214041">
        <w:t>it can help to</w:t>
      </w:r>
      <w:r w:rsidR="00EE30F1">
        <w:t xml:space="preserve"> provide them with the opportunity </w:t>
      </w:r>
      <w:r w:rsidR="00116C35">
        <w:t>to carry out</w:t>
      </w:r>
      <w:r w:rsidR="00EE30F1">
        <w:t xml:space="preserve"> hands on practical </w:t>
      </w:r>
      <w:r w:rsidR="00EE30F1" w:rsidRPr="00EE30F1">
        <w:t>work</w:t>
      </w:r>
      <w:r w:rsidR="00EE30F1">
        <w:t xml:space="preserve"> in order</w:t>
      </w:r>
      <w:r w:rsidR="00EE30F1" w:rsidRPr="00EE30F1">
        <w:t xml:space="preserve"> to </w:t>
      </w:r>
      <w:r w:rsidR="00EE30F1">
        <w:t xml:space="preserve">investigate </w:t>
      </w:r>
      <w:r w:rsidR="00EE30F1" w:rsidRPr="00EE30F1">
        <w:t>what happens</w:t>
      </w:r>
      <w:r w:rsidRPr="00EE30F1">
        <w:t>.</w:t>
      </w:r>
    </w:p>
    <w:p w:rsidR="00EE30F1" w:rsidRPr="00EE30F1" w:rsidRDefault="00EE30F1" w:rsidP="00EE30F1">
      <w:pPr>
        <w:spacing w:after="180"/>
      </w:pPr>
      <w:r w:rsidRPr="00EE30F1">
        <w:t>The following BEST ‘response activity’ could be used in follow-up to this diagnostic question:</w:t>
      </w:r>
    </w:p>
    <w:p w:rsidR="00EE30F1" w:rsidRPr="00EE30F1" w:rsidRDefault="00EE30F1" w:rsidP="00EE30F1">
      <w:pPr>
        <w:pStyle w:val="ListParagraph"/>
        <w:numPr>
          <w:ilvl w:val="0"/>
          <w:numId w:val="1"/>
        </w:numPr>
        <w:spacing w:after="180"/>
      </w:pPr>
      <w:r w:rsidRPr="00EE30F1">
        <w:t>Response activity: Measuring refraction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w:t>
      </w:r>
      <w:r w:rsidR="0015356E" w:rsidRPr="00A874A5">
        <w:t>SEG</w:t>
      </w:r>
      <w:r w:rsidRPr="00A874A5">
        <w:t>)</w:t>
      </w:r>
      <w:r w:rsidR="00A874A5">
        <w:t xml:space="preserve">, based on questions used by </w:t>
      </w:r>
      <w:proofErr w:type="spellStart"/>
      <w:r w:rsidR="00A874A5">
        <w:t>Fyttas</w:t>
      </w:r>
      <w:proofErr w:type="spellEnd"/>
      <w:r w:rsidR="00A874A5">
        <w:t xml:space="preserve"> et al</w:t>
      </w:r>
      <w:r w:rsidRPr="00A874A5">
        <w:t>.</w:t>
      </w:r>
      <w:r w:rsidR="00A874A5">
        <w:t xml:space="preserve"> </w:t>
      </w:r>
      <w:r w:rsidR="00A874A5">
        <w:fldChar w:fldCharType="begin"/>
      </w:r>
      <w:r w:rsidR="00A874A5">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sidR="00A874A5">
        <w:fldChar w:fldCharType="separate"/>
      </w:r>
      <w:r w:rsidR="00A874A5">
        <w:rPr>
          <w:noProof/>
        </w:rPr>
        <w:t>(2013)</w:t>
      </w:r>
      <w:r w:rsidR="00A874A5">
        <w:fldChar w:fldCharType="end"/>
      </w:r>
    </w:p>
    <w:p w:rsidR="00CC78A5" w:rsidRDefault="00D278E8" w:rsidP="00E172C6">
      <w:pPr>
        <w:spacing w:after="180"/>
      </w:pPr>
      <w:r w:rsidRPr="0045323E">
        <w:t xml:space="preserve">Images: </w:t>
      </w:r>
      <w:r w:rsidR="007D536F">
        <w:t>Peter Fairhurst (UYSEG)</w:t>
      </w:r>
      <w:r w:rsidR="00A874A5">
        <w:t>.</w:t>
      </w:r>
    </w:p>
    <w:p w:rsidR="00AC7CB4" w:rsidRDefault="003117F6" w:rsidP="00E24309">
      <w:pPr>
        <w:spacing w:after="180"/>
        <w:rPr>
          <w:b/>
          <w:color w:val="5F497A" w:themeColor="accent4" w:themeShade="BF"/>
          <w:sz w:val="24"/>
        </w:rPr>
      </w:pPr>
      <w:r w:rsidRPr="002C79AE">
        <w:rPr>
          <w:b/>
          <w:color w:val="5F497A" w:themeColor="accent4" w:themeShade="BF"/>
          <w:sz w:val="24"/>
        </w:rPr>
        <w:t>References</w:t>
      </w:r>
    </w:p>
    <w:p w:rsidR="003210A9" w:rsidRPr="003210A9" w:rsidRDefault="00AC7CB4" w:rsidP="00EE30F1">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3210A9" w:rsidRPr="003210A9">
        <w:t xml:space="preserve">Andreou, C. and Raftopoulos, A. (2011). Lessons from the history of the concept of the ray for teaching geometric optics. </w:t>
      </w:r>
      <w:r w:rsidR="003210A9" w:rsidRPr="003210A9">
        <w:rPr>
          <w:i/>
        </w:rPr>
        <w:t>Science and Education,</w:t>
      </w:r>
      <w:r w:rsidR="003210A9" w:rsidRPr="003210A9">
        <w:t xml:space="preserve"> 20</w:t>
      </w:r>
      <w:r w:rsidR="003210A9" w:rsidRPr="003210A9">
        <w:rPr>
          <w:b/>
        </w:rPr>
        <w:t>,</w:t>
      </w:r>
      <w:r w:rsidR="003210A9" w:rsidRPr="003210A9">
        <w:t xml:space="preserve"> 1007-1037.</w:t>
      </w:r>
    </w:p>
    <w:p w:rsidR="003210A9" w:rsidRPr="003210A9" w:rsidRDefault="003210A9" w:rsidP="00EE30F1">
      <w:pPr>
        <w:pStyle w:val="EndNoteBibliography"/>
        <w:spacing w:after="120"/>
        <w:ind w:left="426" w:hanging="426"/>
      </w:pPr>
      <w:r w:rsidRPr="003210A9">
        <w:t xml:space="preserve">Davenport, C. (2021). Waves. In de Winter, J. &amp; Hardman, M. (eds.) </w:t>
      </w:r>
      <w:r w:rsidRPr="003210A9">
        <w:rPr>
          <w:i/>
        </w:rPr>
        <w:t xml:space="preserve">Teaching Secondary Physics. </w:t>
      </w:r>
      <w:r w:rsidRPr="003210A9">
        <w:t>3rd ed. London: Hodder Education.</w:t>
      </w:r>
    </w:p>
    <w:p w:rsidR="003210A9" w:rsidRPr="003210A9" w:rsidRDefault="003210A9" w:rsidP="00EE30F1">
      <w:pPr>
        <w:pStyle w:val="EndNoteBibliography"/>
        <w:spacing w:after="120"/>
        <w:ind w:left="426" w:hanging="426"/>
      </w:pPr>
      <w:r w:rsidRPr="003210A9">
        <w:t xml:space="preserve">Fyttas, G., Komis, V. and Ravanis, K. (2013). Ninth grade students' mental representations of the refraction of light: didactic implications. </w:t>
      </w:r>
      <w:r w:rsidRPr="003210A9">
        <w:rPr>
          <w:i/>
        </w:rPr>
        <w:t>Mexican Journal of Physics,</w:t>
      </w:r>
      <w:r w:rsidRPr="003210A9">
        <w:t xml:space="preserve"> 59</w:t>
      </w:r>
      <w:r w:rsidRPr="003210A9">
        <w:rPr>
          <w:b/>
        </w:rPr>
        <w:t>,</w:t>
      </w:r>
      <w:r w:rsidRPr="003210A9">
        <w:t xml:space="preserve"> 133-139.</w:t>
      </w:r>
    </w:p>
    <w:p w:rsidR="003210A9" w:rsidRPr="003210A9" w:rsidRDefault="003210A9" w:rsidP="00EE30F1">
      <w:pPr>
        <w:pStyle w:val="EndNoteBibliography"/>
        <w:spacing w:after="120"/>
        <w:ind w:left="426" w:hanging="426"/>
      </w:pPr>
      <w:r w:rsidRPr="003210A9">
        <w:t xml:space="preserve">Galili, I. and Hazan, A. (2000). Learners' knowledge in optics: interpretation, structure and analysis. </w:t>
      </w:r>
      <w:r w:rsidRPr="003210A9">
        <w:rPr>
          <w:i/>
        </w:rPr>
        <w:t>International Journal of Science Education,</w:t>
      </w:r>
      <w:r w:rsidRPr="003210A9">
        <w:t xml:space="preserve"> 22(1)</w:t>
      </w:r>
      <w:r w:rsidRPr="003210A9">
        <w:rPr>
          <w:b/>
        </w:rPr>
        <w:t>,</w:t>
      </w:r>
      <w:r w:rsidRPr="003210A9">
        <w:t xml:space="preserve"> 57-88.</w:t>
      </w:r>
    </w:p>
    <w:p w:rsidR="00B46FF9" w:rsidRDefault="00AC7CB4" w:rsidP="00EE30F1">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2B2" w:rsidRDefault="007962B2" w:rsidP="000B473B">
      <w:r>
        <w:separator/>
      </w:r>
    </w:p>
  </w:endnote>
  <w:endnote w:type="continuationSeparator" w:id="0">
    <w:p w:rsidR="007962B2" w:rsidRDefault="007962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2D314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2B2" w:rsidRDefault="007962B2" w:rsidP="000B473B">
      <w:r>
        <w:separator/>
      </w:r>
    </w:p>
  </w:footnote>
  <w:footnote w:type="continuationSeparator" w:id="0">
    <w:p w:rsidR="007962B2" w:rsidRDefault="007962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56623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E1D2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5741B"/>
    <w:multiLevelType w:val="hybridMultilevel"/>
    <w:tmpl w:val="024EA4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CA427B"/>
    <w:multiLevelType w:val="hybridMultilevel"/>
    <w:tmpl w:val="B6845ECC"/>
    <w:lvl w:ilvl="0" w:tplc="0F42D144">
      <w:start w:val="1"/>
      <w:numFmt w:val="decimal"/>
      <w:lvlText w:val="%1."/>
      <w:lvlJc w:val="left"/>
      <w:pPr>
        <w:ind w:left="780" w:hanging="4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E704B9"/>
    <w:multiLevelType w:val="hybridMultilevel"/>
    <w:tmpl w:val="9C90E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962B2"/>
    <w:rsid w:val="00015578"/>
    <w:rsid w:val="00024731"/>
    <w:rsid w:val="00026DEC"/>
    <w:rsid w:val="000505CA"/>
    <w:rsid w:val="00065618"/>
    <w:rsid w:val="0007651D"/>
    <w:rsid w:val="0009089A"/>
    <w:rsid w:val="000947E2"/>
    <w:rsid w:val="00095E04"/>
    <w:rsid w:val="000A0D12"/>
    <w:rsid w:val="000B11B1"/>
    <w:rsid w:val="000B473B"/>
    <w:rsid w:val="000D0E89"/>
    <w:rsid w:val="000E2689"/>
    <w:rsid w:val="00116C35"/>
    <w:rsid w:val="00142613"/>
    <w:rsid w:val="00144D04"/>
    <w:rsid w:val="00144DA7"/>
    <w:rsid w:val="0015356E"/>
    <w:rsid w:val="00161D3F"/>
    <w:rsid w:val="001915D4"/>
    <w:rsid w:val="001A1FED"/>
    <w:rsid w:val="001A40E2"/>
    <w:rsid w:val="001C4805"/>
    <w:rsid w:val="00201AC2"/>
    <w:rsid w:val="00214041"/>
    <w:rsid w:val="00214608"/>
    <w:rsid w:val="0021607B"/>
    <w:rsid w:val="002178AC"/>
    <w:rsid w:val="0022547C"/>
    <w:rsid w:val="00246FA6"/>
    <w:rsid w:val="0025410A"/>
    <w:rsid w:val="0027553E"/>
    <w:rsid w:val="0028012F"/>
    <w:rsid w:val="002828DF"/>
    <w:rsid w:val="00287876"/>
    <w:rsid w:val="00292C53"/>
    <w:rsid w:val="0029499F"/>
    <w:rsid w:val="00294E22"/>
    <w:rsid w:val="002B5D71"/>
    <w:rsid w:val="002C22EA"/>
    <w:rsid w:val="002C59BA"/>
    <w:rsid w:val="002C79AE"/>
    <w:rsid w:val="00301AA9"/>
    <w:rsid w:val="003117F6"/>
    <w:rsid w:val="003210A9"/>
    <w:rsid w:val="003334B8"/>
    <w:rsid w:val="0034221B"/>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31C3"/>
    <w:rsid w:val="00524710"/>
    <w:rsid w:val="00535269"/>
    <w:rsid w:val="00555342"/>
    <w:rsid w:val="005560E2"/>
    <w:rsid w:val="00571AD3"/>
    <w:rsid w:val="00581291"/>
    <w:rsid w:val="00597796"/>
    <w:rsid w:val="005A452E"/>
    <w:rsid w:val="005A6EE7"/>
    <w:rsid w:val="005F1A7B"/>
    <w:rsid w:val="00613E49"/>
    <w:rsid w:val="006355D8"/>
    <w:rsid w:val="00642ECD"/>
    <w:rsid w:val="006502A0"/>
    <w:rsid w:val="006772F5"/>
    <w:rsid w:val="006A1279"/>
    <w:rsid w:val="006A4440"/>
    <w:rsid w:val="006B0615"/>
    <w:rsid w:val="006D0184"/>
    <w:rsid w:val="006D166B"/>
    <w:rsid w:val="006F3279"/>
    <w:rsid w:val="00704AEE"/>
    <w:rsid w:val="00722F9A"/>
    <w:rsid w:val="00754539"/>
    <w:rsid w:val="0077646D"/>
    <w:rsid w:val="00781BC6"/>
    <w:rsid w:val="007962B2"/>
    <w:rsid w:val="007A3C86"/>
    <w:rsid w:val="007A683E"/>
    <w:rsid w:val="007A748B"/>
    <w:rsid w:val="007B18B8"/>
    <w:rsid w:val="007C26E1"/>
    <w:rsid w:val="007D1D65"/>
    <w:rsid w:val="007D536F"/>
    <w:rsid w:val="007E0A9E"/>
    <w:rsid w:val="007E2467"/>
    <w:rsid w:val="007E5309"/>
    <w:rsid w:val="00800DE1"/>
    <w:rsid w:val="00813F47"/>
    <w:rsid w:val="008450D6"/>
    <w:rsid w:val="00854C03"/>
    <w:rsid w:val="00856FCA"/>
    <w:rsid w:val="00873B8C"/>
    <w:rsid w:val="00880E3B"/>
    <w:rsid w:val="008A405F"/>
    <w:rsid w:val="008C7F34"/>
    <w:rsid w:val="008E0233"/>
    <w:rsid w:val="008E580C"/>
    <w:rsid w:val="0090047A"/>
    <w:rsid w:val="00923E44"/>
    <w:rsid w:val="00925026"/>
    <w:rsid w:val="00931264"/>
    <w:rsid w:val="00942A4B"/>
    <w:rsid w:val="00961D59"/>
    <w:rsid w:val="009B2D55"/>
    <w:rsid w:val="009C0343"/>
    <w:rsid w:val="009D6806"/>
    <w:rsid w:val="009E0D11"/>
    <w:rsid w:val="009E4151"/>
    <w:rsid w:val="009F2253"/>
    <w:rsid w:val="00A01222"/>
    <w:rsid w:val="00A24A16"/>
    <w:rsid w:val="00A37D14"/>
    <w:rsid w:val="00A6111E"/>
    <w:rsid w:val="00A6168B"/>
    <w:rsid w:val="00A62028"/>
    <w:rsid w:val="00A665F6"/>
    <w:rsid w:val="00A874A5"/>
    <w:rsid w:val="00AA5B77"/>
    <w:rsid w:val="00AA6236"/>
    <w:rsid w:val="00AA6A2C"/>
    <w:rsid w:val="00AB24E5"/>
    <w:rsid w:val="00AB6AE7"/>
    <w:rsid w:val="00AC7CB4"/>
    <w:rsid w:val="00AD21F5"/>
    <w:rsid w:val="00B06225"/>
    <w:rsid w:val="00B23C7A"/>
    <w:rsid w:val="00B305F5"/>
    <w:rsid w:val="00B40505"/>
    <w:rsid w:val="00B46FF9"/>
    <w:rsid w:val="00B47E1D"/>
    <w:rsid w:val="00B52AC3"/>
    <w:rsid w:val="00B542D9"/>
    <w:rsid w:val="00B75483"/>
    <w:rsid w:val="00BA7952"/>
    <w:rsid w:val="00BB44B4"/>
    <w:rsid w:val="00BC051A"/>
    <w:rsid w:val="00BF0BBF"/>
    <w:rsid w:val="00BF6C8A"/>
    <w:rsid w:val="00C05571"/>
    <w:rsid w:val="00C246CE"/>
    <w:rsid w:val="00C33C31"/>
    <w:rsid w:val="00C54711"/>
    <w:rsid w:val="00C57FA2"/>
    <w:rsid w:val="00CC2E4D"/>
    <w:rsid w:val="00CC78A5"/>
    <w:rsid w:val="00CC7B16"/>
    <w:rsid w:val="00CE15FE"/>
    <w:rsid w:val="00D02E15"/>
    <w:rsid w:val="00D03B68"/>
    <w:rsid w:val="00D04A0D"/>
    <w:rsid w:val="00D14F44"/>
    <w:rsid w:val="00D2217A"/>
    <w:rsid w:val="00D278E8"/>
    <w:rsid w:val="00D30821"/>
    <w:rsid w:val="00D421E8"/>
    <w:rsid w:val="00D44604"/>
    <w:rsid w:val="00D479B3"/>
    <w:rsid w:val="00D52283"/>
    <w:rsid w:val="00D524E5"/>
    <w:rsid w:val="00D72FEF"/>
    <w:rsid w:val="00D755FA"/>
    <w:rsid w:val="00DB2694"/>
    <w:rsid w:val="00DC4A4E"/>
    <w:rsid w:val="00DC5F4F"/>
    <w:rsid w:val="00DD1874"/>
    <w:rsid w:val="00DD63BD"/>
    <w:rsid w:val="00DF05DB"/>
    <w:rsid w:val="00DF7E20"/>
    <w:rsid w:val="00E172C6"/>
    <w:rsid w:val="00E24309"/>
    <w:rsid w:val="00E53D82"/>
    <w:rsid w:val="00E9330A"/>
    <w:rsid w:val="00EA5A62"/>
    <w:rsid w:val="00EE30F1"/>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237DE8"/>
  <w15:docId w15:val="{98CCBD83-1CFA-4137-B547-91425F903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34221B"/>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C7CB4"/>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AC7CB4"/>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AC7CB4"/>
    <w:rPr>
      <w:rFonts w:ascii="Calibri" w:hAnsi="Calibri" w:cs="Calibri"/>
      <w:noProof/>
      <w:lang w:val="en-US"/>
    </w:rPr>
  </w:style>
  <w:style w:type="character" w:customStyle="1" w:styleId="EndNoteBibliographyChar">
    <w:name w:val="EndNote Bibliography Char"/>
    <w:basedOn w:val="NormalWebChar"/>
    <w:link w:val="EndNoteBibliography"/>
    <w:rsid w:val="00AC7CB4"/>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54348704">
      <w:bodyDiv w:val="1"/>
      <w:marLeft w:val="0"/>
      <w:marRight w:val="0"/>
      <w:marTop w:val="0"/>
      <w:marBottom w:val="0"/>
      <w:divBdr>
        <w:top w:val="none" w:sz="0" w:space="0" w:color="auto"/>
        <w:left w:val="none" w:sz="0" w:space="0" w:color="auto"/>
        <w:bottom w:val="none" w:sz="0" w:space="0" w:color="auto"/>
        <w:right w:val="none" w:sz="0" w:space="0" w:color="auto"/>
      </w:divBdr>
    </w:div>
    <w:div w:id="1920753095">
      <w:bodyDiv w:val="1"/>
      <w:marLeft w:val="0"/>
      <w:marRight w:val="0"/>
      <w:marTop w:val="0"/>
      <w:marBottom w:val="0"/>
      <w:divBdr>
        <w:top w:val="none" w:sz="0" w:space="0" w:color="auto"/>
        <w:left w:val="none" w:sz="0" w:space="0" w:color="auto"/>
        <w:bottom w:val="none" w:sz="0" w:space="0" w:color="auto"/>
        <w:right w:val="none" w:sz="0" w:space="0" w:color="auto"/>
      </w:divBdr>
    </w:div>
    <w:div w:id="19880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116</TotalTime>
  <Pages>6</Pages>
  <Words>1800</Words>
  <Characters>10261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28</cp:revision>
  <cp:lastPrinted>2017-02-24T16:20:00Z</cp:lastPrinted>
  <dcterms:created xsi:type="dcterms:W3CDTF">2021-06-10T12:05:00Z</dcterms:created>
  <dcterms:modified xsi:type="dcterms:W3CDTF">2021-09-06T15:29:00Z</dcterms:modified>
</cp:coreProperties>
</file>